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rPr>
          <w:b/>
          <w:bCs/>
        </w:rPr>
        <w:t xml:space="preserve">Research Question: How does light intensity affect the rate of photosynthesis in aquatic plants?</w:t>
      </w:r>
    </w:p>
    <w:p>
      <w:pPr>
        <w:pStyle w:val="default"/>
      </w:pPr>
      <w:r>
        <w:rPr>
          <w:b/>
          <w:bCs/>
        </w:rPr>
        <w:t xml:space="preserve">Materials</w:t>
      </w: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rPr>
          <w:b/>
          <w:bCs/>
        </w:rPr>
        <w:t xml:space="preserve">Procedure</w:t>
      </w:r>
      <w:r>
        <w:t xml:space="preserve">: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nblhkczxi_35rhwdqa_j.png"/><Relationship Id="rId1" Type="http://schemas.openxmlformats.org/officeDocument/2006/relationships/image" Target="media/zafp76nr6qm3qguncikd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2024-12-05T02:41:26.101Z</dcterms:created>
  <dcterms:modified xsi:type="dcterms:W3CDTF">2024-12-05T02:41:26.101Z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